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60" w:rsidRPr="00251129" w:rsidRDefault="00E57160" w:rsidP="00E57160">
      <w:pPr>
        <w:widowControl w:val="0"/>
        <w:autoSpaceDE w:val="0"/>
        <w:autoSpaceDN w:val="0"/>
        <w:adjustRightInd w:val="0"/>
        <w:spacing w:line="320" w:lineRule="exact"/>
        <w:ind w:left="567" w:hanging="567"/>
        <w:jc w:val="center"/>
        <w:outlineLvl w:val="0"/>
        <w:rPr>
          <w:b/>
          <w:bCs/>
          <w:szCs w:val="28"/>
        </w:rPr>
      </w:pPr>
      <w:bookmarkStart w:id="0" w:name="_GoBack"/>
      <w:bookmarkEnd w:id="0"/>
      <w:r w:rsidRPr="00251129">
        <w:rPr>
          <w:b/>
          <w:bCs/>
          <w:szCs w:val="28"/>
        </w:rPr>
        <w:t>Состав Инвестиционного комитета Липецкой области</w:t>
      </w:r>
    </w:p>
    <w:p w:rsidR="00E57160" w:rsidRPr="00431065" w:rsidRDefault="00E57160" w:rsidP="00E57160">
      <w:pPr>
        <w:widowControl w:val="0"/>
        <w:autoSpaceDE w:val="0"/>
        <w:autoSpaceDN w:val="0"/>
        <w:adjustRightInd w:val="0"/>
        <w:spacing w:line="320" w:lineRule="exact"/>
        <w:ind w:left="567" w:firstLine="567"/>
        <w:outlineLvl w:val="0"/>
        <w:rPr>
          <w:bCs/>
          <w:szCs w:val="28"/>
        </w:rPr>
      </w:pPr>
    </w:p>
    <w:tbl>
      <w:tblPr>
        <w:tblW w:w="963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>Губернатор Липецкой области, председатель Инвестиционного комитета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 xml:space="preserve">заместитель Губернатора Липецкой области, отвечающий за вопросы в сфере экономики, внешнеэкономической и инвестиционной деятельности, заместитель председателя Инвестиционного комитета 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>начальник управления инвестиций и инноваций Липецкой области, секретарь Инвестиционного комитета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>заместитель Губернатора Липецкой области, отвечающий за вопросы в сфере архитектуры и строительства, топливно-энергетического комплекса, транспорта, дорожного хозяйства, жилищно-коммунального хозяйства Липецкой области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>глава муниципального образования (городского округа)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>уполномоченный по защите прав предпринимателей Липецкой области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 xml:space="preserve">начальник управления строительства и архитектуры Липецкой области 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>начальник управления дорог и транспорта Липецкой области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>начальник управления экономического развития Липецкой области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>начальник управления сельского хозяйства Липецкой области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>начальник управления жилищно-коммунального хозяйства Липецкой области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>начальник управления имущественных и земельных отношений Липецкой области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>начальник управления энергетики и тарифов Липецкой области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>начальник управления лесного хозяйства Липецкой области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>первый заместитель главы администрации города Липецка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 xml:space="preserve">президент  Союза «Липецкая торгово-промышленная палата», председатель комиссии по экономике и поддержке предпринимательства Общественной палаты Липецкой области 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>исполнительный директор – заместитель Председателя Правления Регионального объединения работодателей «Союз промышленников и предпринимателей Липецкой области»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 xml:space="preserve">председатель Липецкого регионального отделения Общероссийской </w:t>
            </w:r>
            <w:r w:rsidRPr="00431065">
              <w:rPr>
                <w:szCs w:val="28"/>
              </w:rPr>
              <w:lastRenderedPageBreak/>
              <w:t xml:space="preserve">общественной организации малого и среднего предпринимательства «ОПОРА России» 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lastRenderedPageBreak/>
              <w:t xml:space="preserve">председатель Липецкого регионального отделения Общероссийской общественной организации «Деловая Россия» 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>генеральный директор АО «Особая экономическая зона промышленно-производственного типа «Липецк»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>директор Агентства инвестиционного развития Липецкой области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 xml:space="preserve">генеральный директор АО «Газпром газораспределение Липецк»  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>генерального директора ОАО «Липецкая энергосбытовая компания»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>генеральный директор ООО «Новое информационно-технологичное  Энергосбережение»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>директор Фонда развития промышленности Липецкой области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 xml:space="preserve">заместитель генерального директора – директор филиала ПАО «Россети Центр» – «Липецкэнерго» 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spacing w:line="240" w:lineRule="auto"/>
              <w:ind w:left="222" w:hanging="222"/>
              <w:rPr>
                <w:szCs w:val="28"/>
              </w:rPr>
            </w:pPr>
            <w:r>
              <w:rPr>
                <w:szCs w:val="28"/>
              </w:rPr>
              <w:t>директор филиала АО «СО ЕЭС» Липецкой РДУ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 xml:space="preserve">заместитель руководителя Верхне-Донского Управления Федеральной службы по экологическому, технологическому и атомному надзору 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>руководитель управления Федеральной службы государственной регистрации, кадастра и картографии по Липецкой области</w:t>
            </w:r>
          </w:p>
        </w:tc>
      </w:tr>
      <w:tr w:rsidR="00E57160" w:rsidRPr="00431065" w:rsidTr="00A27D23">
        <w:tc>
          <w:tcPr>
            <w:tcW w:w="9639" w:type="dxa"/>
          </w:tcPr>
          <w:p w:rsidR="00E57160" w:rsidRPr="00431065" w:rsidRDefault="00E57160" w:rsidP="00E57160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222" w:hanging="222"/>
              <w:rPr>
                <w:szCs w:val="28"/>
              </w:rPr>
            </w:pPr>
            <w:r w:rsidRPr="00431065">
              <w:rPr>
                <w:szCs w:val="28"/>
              </w:rPr>
              <w:t>руководители организаций-инвесторов, реализующих и/или реализовавших инвестиционные проекты в Липецкой области</w:t>
            </w:r>
          </w:p>
        </w:tc>
      </w:tr>
    </w:tbl>
    <w:p w:rsidR="00E57160" w:rsidRPr="00431065" w:rsidRDefault="00E57160" w:rsidP="00E57160">
      <w:pPr>
        <w:pStyle w:val="a5"/>
        <w:ind w:right="0"/>
        <w:rPr>
          <w:szCs w:val="28"/>
        </w:rPr>
      </w:pPr>
      <w:r w:rsidRPr="00431065">
        <w:rPr>
          <w:szCs w:val="28"/>
        </w:rPr>
        <w:t xml:space="preserve">        </w:t>
      </w:r>
    </w:p>
    <w:p w:rsidR="00E57160" w:rsidRPr="00431065" w:rsidRDefault="00E57160" w:rsidP="00E57160">
      <w:pPr>
        <w:pStyle w:val="a5"/>
        <w:ind w:right="0"/>
        <w:rPr>
          <w:szCs w:val="28"/>
        </w:rPr>
      </w:pPr>
      <w:r w:rsidRPr="00431065">
        <w:rPr>
          <w:szCs w:val="28"/>
        </w:rPr>
        <w:t xml:space="preserve">2) </w:t>
      </w:r>
      <w:r>
        <w:rPr>
          <w:szCs w:val="28"/>
        </w:rPr>
        <w:t xml:space="preserve">  </w:t>
      </w:r>
      <w:r w:rsidRPr="00431065">
        <w:rPr>
          <w:szCs w:val="28"/>
        </w:rPr>
        <w:t>Порядок работы Инвестиционного комитета</w:t>
      </w:r>
    </w:p>
    <w:p w:rsidR="00E57160" w:rsidRPr="00431065" w:rsidRDefault="00E57160" w:rsidP="00E57160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160" w:rsidRPr="00431065" w:rsidRDefault="00E57160" w:rsidP="00E57160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65">
        <w:rPr>
          <w:rFonts w:ascii="Times New Roman" w:hAnsi="Times New Roman" w:cs="Times New Roman"/>
          <w:sz w:val="28"/>
          <w:szCs w:val="28"/>
        </w:rPr>
        <w:t>Основным рекомендуемым видом деятельности Инвестиционного комитета является разрешение разногласий и споров инвестора с органами государственной власти Липецкой области и (или) органами местного самоуправления Липецкой области и (или) иными организациями, с которыми возникли разногласия и споры в рамках реализации инвестиционного проекта на территории Липецкой области в досудебном порядке, в том числе неурегулированных Агентством инвестиционного развития Липецкой области и (или) органом исполнительной власти Липецкой области.</w:t>
      </w:r>
    </w:p>
    <w:p w:rsidR="00E57160" w:rsidRPr="00431065" w:rsidRDefault="00E57160" w:rsidP="00E57160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160" w:rsidRPr="00431065" w:rsidRDefault="00E57160" w:rsidP="00E57160">
      <w:pPr>
        <w:suppressAutoHyphens w:val="0"/>
        <w:autoSpaceDE w:val="0"/>
        <w:autoSpaceDN w:val="0"/>
        <w:adjustRightInd w:val="0"/>
        <w:spacing w:line="240" w:lineRule="auto"/>
        <w:ind w:firstLine="567"/>
        <w:rPr>
          <w:szCs w:val="28"/>
          <w:lang w:eastAsia="ru-RU"/>
        </w:rPr>
      </w:pPr>
      <w:r w:rsidRPr="00431065">
        <w:rPr>
          <w:szCs w:val="28"/>
          <w:lang w:eastAsia="ru-RU"/>
        </w:rPr>
        <w:t xml:space="preserve">В случае необходимости рассмотрения разногласий и споров на инвестиционном комитете инвестору, представителю агентства развития или органа исполнительной власти Липецкой области необходимо пройти по </w:t>
      </w:r>
      <w:r w:rsidRPr="00431065">
        <w:rPr>
          <w:szCs w:val="28"/>
          <w:lang w:eastAsia="ru-RU"/>
        </w:rPr>
        <w:lastRenderedPageBreak/>
        <w:t xml:space="preserve">ссылке </w:t>
      </w:r>
      <w:hyperlink r:id="rId8" w:history="1">
        <w:r w:rsidRPr="00431065">
          <w:rPr>
            <w:rStyle w:val="af0"/>
            <w:szCs w:val="28"/>
            <w:lang w:eastAsia="ru-RU"/>
          </w:rPr>
          <w:t>https://b24-lxy73l.bitrix24.site/crm_form_jj7iw/</w:t>
        </w:r>
      </w:hyperlink>
      <w:r w:rsidRPr="00431065">
        <w:rPr>
          <w:szCs w:val="28"/>
          <w:lang w:eastAsia="ru-RU"/>
        </w:rPr>
        <w:t xml:space="preserve">  на инвестиционном портале Липецкой области главной странице интерактивная кнопка «Подать заявление в инвестиционный комитет» и заполнить форму заявления или направить соответствующее заявление ответственному секретарю инвестиционного комитета (начальнику управления инвестиций и инноваций Липецкой области - Локтионовой Евгении Анатольевне) на бумажном носителе в управление инвестиций и инноваций Липецкой области (почтовый адрес: 398014, г. Липецк, пл. Ленина-Соборная,1) или по электронной почте: </w:t>
      </w:r>
      <w:hyperlink r:id="rId9" w:history="1">
        <w:r w:rsidRPr="00431065">
          <w:rPr>
            <w:lang w:eastAsia="ru-RU"/>
          </w:rPr>
          <w:t>diir@admlr.lipetsk.ru</w:t>
        </w:r>
      </w:hyperlink>
      <w:r w:rsidRPr="00431065">
        <w:rPr>
          <w:lang w:eastAsia="ru-RU"/>
        </w:rPr>
        <w:t>.</w:t>
      </w:r>
      <w:r w:rsidRPr="00431065">
        <w:rPr>
          <w:szCs w:val="28"/>
          <w:lang w:eastAsia="ru-RU"/>
        </w:rPr>
        <w:t xml:space="preserve"> </w:t>
      </w:r>
    </w:p>
    <w:p w:rsidR="00E57160" w:rsidRPr="00431065" w:rsidRDefault="00E57160" w:rsidP="00E57160">
      <w:pPr>
        <w:suppressAutoHyphens w:val="0"/>
        <w:autoSpaceDE w:val="0"/>
        <w:autoSpaceDN w:val="0"/>
        <w:adjustRightInd w:val="0"/>
        <w:spacing w:line="240" w:lineRule="auto"/>
        <w:ind w:firstLine="567"/>
        <w:rPr>
          <w:szCs w:val="28"/>
          <w:lang w:eastAsia="ru-RU"/>
        </w:rPr>
      </w:pPr>
      <w:r w:rsidRPr="00431065">
        <w:rPr>
          <w:szCs w:val="28"/>
          <w:lang w:eastAsia="ru-RU"/>
        </w:rPr>
        <w:t>В заявлении указываются:</w:t>
      </w:r>
    </w:p>
    <w:p w:rsidR="00E57160" w:rsidRPr="00431065" w:rsidRDefault="00E57160" w:rsidP="00E57160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Cs w:val="28"/>
          <w:lang w:eastAsia="ru-RU"/>
        </w:rPr>
      </w:pPr>
      <w:r w:rsidRPr="00431065">
        <w:rPr>
          <w:szCs w:val="28"/>
          <w:lang w:eastAsia="ru-RU"/>
        </w:rPr>
        <w:t>-  наименование инвестиционного комитета;</w:t>
      </w:r>
    </w:p>
    <w:p w:rsidR="00E57160" w:rsidRPr="00431065" w:rsidRDefault="00E57160" w:rsidP="00E57160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Cs w:val="28"/>
          <w:lang w:eastAsia="ru-RU"/>
        </w:rPr>
      </w:pPr>
      <w:r w:rsidRPr="00431065">
        <w:rPr>
          <w:szCs w:val="28"/>
          <w:lang w:eastAsia="ru-RU"/>
        </w:rPr>
        <w:t>- сведения об инвестиционном проекте (наименование инвестиционного проекта, отрасль экономики, стадия реализации инвестиционного проекта,</w:t>
      </w:r>
    </w:p>
    <w:p w:rsidR="00E57160" w:rsidRPr="00431065" w:rsidRDefault="00E57160" w:rsidP="00E57160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Cs w:val="28"/>
          <w:lang w:eastAsia="ru-RU"/>
        </w:rPr>
      </w:pPr>
      <w:r w:rsidRPr="00431065">
        <w:rPr>
          <w:szCs w:val="28"/>
          <w:lang w:eastAsia="ru-RU"/>
        </w:rPr>
        <w:t>фактический адрес реализации инвестиционного проекта);</w:t>
      </w:r>
    </w:p>
    <w:p w:rsidR="00E57160" w:rsidRPr="00431065" w:rsidRDefault="00E57160" w:rsidP="00E57160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Cs w:val="28"/>
          <w:lang w:eastAsia="ru-RU"/>
        </w:rPr>
      </w:pPr>
      <w:r w:rsidRPr="00431065">
        <w:rPr>
          <w:szCs w:val="28"/>
          <w:lang w:eastAsia="ru-RU"/>
        </w:rPr>
        <w:t>- сведения об инвесторе (полное наименование инвестора, который является одной из сторон разногласий и споров, фактический и юридический адрес регистрации инвестора, идентификационный номер налогоплательщика, телефон и адрес электронной почты;</w:t>
      </w:r>
    </w:p>
    <w:p w:rsidR="00E57160" w:rsidRPr="00431065" w:rsidRDefault="00E57160" w:rsidP="00E57160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Cs w:val="28"/>
          <w:lang w:eastAsia="ru-RU"/>
        </w:rPr>
      </w:pPr>
      <w:r w:rsidRPr="00431065">
        <w:rPr>
          <w:szCs w:val="28"/>
          <w:lang w:eastAsia="ru-RU"/>
        </w:rPr>
        <w:t>- сведения о представителе инвестора (полное наименование представителя инвестора, который является одной из сторон разногласий и споров, с приложением документов, подтверждающих право представителя совершать действия от имени и в пользу инвестора в связи с разногласиями</w:t>
      </w:r>
      <w:r>
        <w:rPr>
          <w:szCs w:val="28"/>
          <w:lang w:eastAsia="ru-RU"/>
        </w:rPr>
        <w:t xml:space="preserve"> </w:t>
      </w:r>
      <w:r w:rsidRPr="00431065">
        <w:rPr>
          <w:szCs w:val="28"/>
          <w:lang w:eastAsia="ru-RU"/>
        </w:rPr>
        <w:t>и спорами (при наличии представителя);</w:t>
      </w:r>
    </w:p>
    <w:p w:rsidR="00E57160" w:rsidRPr="00431065" w:rsidRDefault="00E57160" w:rsidP="00E57160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Cs w:val="28"/>
          <w:lang w:eastAsia="ru-RU"/>
        </w:rPr>
      </w:pPr>
      <w:r w:rsidRPr="00431065">
        <w:rPr>
          <w:szCs w:val="28"/>
          <w:lang w:eastAsia="ru-RU"/>
        </w:rPr>
        <w:t>- сведения об органе государственной власти Липецкой области и (или) органе местного самоуправления и (или) иной организации, с которой возникли разногласия и споры в рамках реализации инвестиционного проекта на территории Липецкой области (далее – отвечающая сторона);</w:t>
      </w:r>
    </w:p>
    <w:p w:rsidR="00E57160" w:rsidRPr="00431065" w:rsidRDefault="00E57160" w:rsidP="00E57160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Cs w:val="28"/>
          <w:lang w:eastAsia="ru-RU"/>
        </w:rPr>
      </w:pPr>
      <w:r w:rsidRPr="00431065">
        <w:rPr>
          <w:szCs w:val="28"/>
          <w:lang w:eastAsia="ru-RU"/>
        </w:rPr>
        <w:t>- описание сути разногласий и споров между сторонами;</w:t>
      </w:r>
    </w:p>
    <w:p w:rsidR="00E57160" w:rsidRPr="00431065" w:rsidRDefault="00E57160" w:rsidP="00E57160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Cs w:val="28"/>
          <w:lang w:eastAsia="ru-RU"/>
        </w:rPr>
      </w:pPr>
      <w:r w:rsidRPr="00431065">
        <w:rPr>
          <w:szCs w:val="28"/>
          <w:lang w:eastAsia="ru-RU"/>
        </w:rPr>
        <w:t>- требования инвестора к отвечающей стороне с указанием обстоятельства, на которых основаны требования инвестора, и подтверждающие эти обстоятельства документы (прилагаются к заявлению), а также предложения инвестора по возможному урегулированию разногласий и споров;</w:t>
      </w:r>
    </w:p>
    <w:p w:rsidR="00E57160" w:rsidRPr="00431065" w:rsidRDefault="00E57160" w:rsidP="00E57160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Cs w:val="28"/>
          <w:lang w:eastAsia="ru-RU"/>
        </w:rPr>
      </w:pPr>
      <w:r w:rsidRPr="00431065">
        <w:rPr>
          <w:szCs w:val="28"/>
          <w:lang w:eastAsia="ru-RU"/>
        </w:rPr>
        <w:t>- сведения о нарушенных положениях инвестиционной декларации Липецкой области  и (или) свода инвестиционных правил Липецкой области и (или) обязательствах, имеющихся у региона  перед инвестором, а при наличии</w:t>
      </w:r>
    </w:p>
    <w:p w:rsidR="00E57160" w:rsidRPr="00431065" w:rsidRDefault="00E57160" w:rsidP="00E57160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Cs w:val="28"/>
          <w:lang w:eastAsia="ru-RU"/>
        </w:rPr>
      </w:pPr>
      <w:r w:rsidRPr="00431065">
        <w:rPr>
          <w:szCs w:val="28"/>
          <w:lang w:eastAsia="ru-RU"/>
        </w:rPr>
        <w:t>нескольких отвечающих сторон – требования к каждой из них (при наличии);</w:t>
      </w:r>
    </w:p>
    <w:p w:rsidR="00E57160" w:rsidRPr="00431065" w:rsidRDefault="00E57160" w:rsidP="00E57160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Cs w:val="28"/>
          <w:lang w:eastAsia="ru-RU"/>
        </w:rPr>
      </w:pPr>
      <w:r w:rsidRPr="00431065">
        <w:rPr>
          <w:szCs w:val="28"/>
          <w:lang w:eastAsia="ru-RU"/>
        </w:rPr>
        <w:t>- сведения о предпринятых агентством развития и (или) органом исполнительной власти Липецкой области мерах по урегулированию разногласий и споров (в случае, если меры предпринимались);</w:t>
      </w:r>
    </w:p>
    <w:p w:rsidR="00E57160" w:rsidRPr="00431065" w:rsidRDefault="00E57160" w:rsidP="00E57160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Cs w:val="28"/>
          <w:lang w:eastAsia="ru-RU"/>
        </w:rPr>
      </w:pPr>
      <w:r w:rsidRPr="00431065">
        <w:rPr>
          <w:szCs w:val="28"/>
          <w:lang w:eastAsia="ru-RU"/>
        </w:rPr>
        <w:t>- перечень прилагаемых документов (при необходимости);</w:t>
      </w:r>
    </w:p>
    <w:p w:rsidR="00E57160" w:rsidRPr="00431065" w:rsidRDefault="00E57160" w:rsidP="00E57160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 w:rsidRPr="00431065">
        <w:rPr>
          <w:szCs w:val="28"/>
          <w:lang w:eastAsia="ru-RU"/>
        </w:rPr>
        <w:t xml:space="preserve">- иные сведения, необходимые для всестороннего рассмотрения </w:t>
      </w:r>
      <w:r w:rsidRPr="00431065">
        <w:rPr>
          <w:szCs w:val="28"/>
        </w:rPr>
        <w:t>заявления.</w:t>
      </w:r>
    </w:p>
    <w:p w:rsidR="00E57160" w:rsidRPr="00431065" w:rsidRDefault="00E57160" w:rsidP="00E57160">
      <w:pPr>
        <w:pStyle w:val="ConsPlusNormal"/>
        <w:tabs>
          <w:tab w:val="left" w:pos="1276"/>
        </w:tabs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65">
        <w:rPr>
          <w:rFonts w:ascii="Times New Roman" w:hAnsi="Times New Roman" w:cs="Times New Roman"/>
          <w:sz w:val="28"/>
          <w:szCs w:val="28"/>
        </w:rPr>
        <w:t xml:space="preserve">2.1. </w:t>
      </w:r>
      <w:r w:rsidRPr="00431065">
        <w:rPr>
          <w:rFonts w:ascii="Times New Roman" w:hAnsi="Times New Roman" w:cs="Times New Roman"/>
          <w:sz w:val="28"/>
          <w:szCs w:val="28"/>
        </w:rPr>
        <w:tab/>
        <w:t xml:space="preserve">Инвестиционный комитет формируется в составе председателя Инвестиционного комитета, заместителя председателя Инвестиционного комитета, секретаря Инвестиционного комитета и иных членов </w:t>
      </w:r>
      <w:r w:rsidRPr="00431065">
        <w:rPr>
          <w:rFonts w:ascii="Times New Roman" w:hAnsi="Times New Roman" w:cs="Times New Roman"/>
          <w:sz w:val="28"/>
          <w:szCs w:val="28"/>
        </w:rPr>
        <w:lastRenderedPageBreak/>
        <w:t>Инвестиционного комитета.</w:t>
      </w:r>
    </w:p>
    <w:p w:rsidR="00E57160" w:rsidRPr="00431065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65">
        <w:rPr>
          <w:rFonts w:ascii="Times New Roman" w:hAnsi="Times New Roman" w:cs="Times New Roman"/>
          <w:sz w:val="28"/>
          <w:szCs w:val="28"/>
        </w:rPr>
        <w:t xml:space="preserve">2.2. </w:t>
      </w:r>
      <w:r w:rsidRPr="00431065">
        <w:rPr>
          <w:rFonts w:ascii="Times New Roman" w:hAnsi="Times New Roman" w:cs="Times New Roman"/>
          <w:sz w:val="28"/>
          <w:szCs w:val="28"/>
        </w:rPr>
        <w:tab/>
        <w:t>Председателем Инвестиционного комитета является Губернатор Липецкой области.</w:t>
      </w:r>
    </w:p>
    <w:p w:rsidR="00E57160" w:rsidRPr="00431065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65">
        <w:rPr>
          <w:rFonts w:ascii="Times New Roman" w:hAnsi="Times New Roman" w:cs="Times New Roman"/>
          <w:sz w:val="28"/>
          <w:szCs w:val="28"/>
        </w:rPr>
        <w:t xml:space="preserve">2.3. </w:t>
      </w:r>
      <w:r w:rsidRPr="00431065">
        <w:rPr>
          <w:rFonts w:ascii="Times New Roman" w:hAnsi="Times New Roman" w:cs="Times New Roman"/>
          <w:sz w:val="28"/>
          <w:szCs w:val="28"/>
        </w:rPr>
        <w:tab/>
        <w:t>Председатель Инвестиционного комитета обеспечивает выполнение возложенных на Инвестиционный комитет функций. В случае отсутствия председателя Инвестиционного комитета его полномочия осуществляет заместитель председателя Инвестиционного комитета.</w:t>
      </w:r>
    </w:p>
    <w:p w:rsidR="00E57160" w:rsidRPr="00431065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65">
        <w:rPr>
          <w:rFonts w:ascii="Times New Roman" w:hAnsi="Times New Roman" w:cs="Times New Roman"/>
          <w:sz w:val="28"/>
          <w:szCs w:val="28"/>
        </w:rPr>
        <w:t xml:space="preserve">2.4. </w:t>
      </w:r>
      <w:r w:rsidRPr="00431065">
        <w:rPr>
          <w:rFonts w:ascii="Times New Roman" w:hAnsi="Times New Roman" w:cs="Times New Roman"/>
          <w:sz w:val="28"/>
          <w:szCs w:val="28"/>
        </w:rPr>
        <w:tab/>
        <w:t>Секретарь Инвестиционного комитета осуществляет организацию проведения заседаний Инвестиционного комитета, подготовку материалов к заседанию Инвестиционного комитета, оформление протоколов заседания Инвестиционного комитета, рассылку документов в соответствии с решениями Инвестиционного комитета.</w:t>
      </w:r>
    </w:p>
    <w:p w:rsidR="00E57160" w:rsidRPr="00431065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65">
        <w:rPr>
          <w:rFonts w:ascii="Times New Roman" w:hAnsi="Times New Roman" w:cs="Times New Roman"/>
          <w:sz w:val="28"/>
          <w:szCs w:val="28"/>
        </w:rPr>
        <w:t xml:space="preserve">2.5. </w:t>
      </w:r>
      <w:r w:rsidRPr="00431065">
        <w:rPr>
          <w:rFonts w:ascii="Times New Roman" w:hAnsi="Times New Roman" w:cs="Times New Roman"/>
          <w:sz w:val="28"/>
          <w:szCs w:val="28"/>
        </w:rPr>
        <w:tab/>
        <w:t>Заседания Инвестиционного комитета проводятся по мере необходимости, но не реже одного раза в два месяца.  Сведения о дате, времени, месте проведения и повестке заседания Инвестиционного комитета сообщаются членам Инвестиционного комитета и приглашенным лицам секретарем Инвестиционного комитета не менее чем за пять рабочих дней до даты проведения заседания.</w:t>
      </w:r>
    </w:p>
    <w:p w:rsidR="00E57160" w:rsidRPr="00431065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65">
        <w:rPr>
          <w:rFonts w:ascii="Times New Roman" w:hAnsi="Times New Roman" w:cs="Times New Roman"/>
          <w:sz w:val="28"/>
          <w:szCs w:val="28"/>
        </w:rPr>
        <w:t>При возникновении вопросов по подключению к инженерной инфраструктуре (при необходимости) проводится выездное заседание инвестиционного комитета необходимым составом для принятия решений.</w:t>
      </w:r>
    </w:p>
    <w:p w:rsidR="00E57160" w:rsidRPr="00431065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65">
        <w:rPr>
          <w:rFonts w:ascii="Times New Roman" w:hAnsi="Times New Roman" w:cs="Times New Roman"/>
          <w:sz w:val="28"/>
          <w:szCs w:val="28"/>
        </w:rPr>
        <w:t>Ответственный секретарь в течение 7 рабочих дней с момента поступления заявления уведомляет Председателя инвестиционного комитета  о поступившем заявлении с описанием сути разногласий споров.</w:t>
      </w:r>
    </w:p>
    <w:p w:rsidR="00E57160" w:rsidRPr="00431065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65">
        <w:rPr>
          <w:rFonts w:ascii="Times New Roman" w:hAnsi="Times New Roman" w:cs="Times New Roman"/>
          <w:sz w:val="28"/>
          <w:szCs w:val="28"/>
        </w:rPr>
        <w:t>Председатель инвестиционного комитета в течение 10 рабочих дней с момента получения уведомления принимает решение о целесообразности проведения заседания инвестиционного комитета.</w:t>
      </w:r>
    </w:p>
    <w:p w:rsidR="00E57160" w:rsidRPr="00431065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65">
        <w:rPr>
          <w:rFonts w:ascii="Times New Roman" w:hAnsi="Times New Roman" w:cs="Times New Roman"/>
          <w:sz w:val="28"/>
          <w:szCs w:val="28"/>
        </w:rPr>
        <w:t xml:space="preserve">В случае принятия решения председателем инвестиционного комитета о необходимости проведения заседания инвестиционного комитета секретарь:  </w:t>
      </w:r>
    </w:p>
    <w:p w:rsidR="00E57160" w:rsidRPr="00431065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065">
        <w:rPr>
          <w:rFonts w:ascii="Times New Roman" w:hAnsi="Times New Roman" w:cs="Times New Roman"/>
          <w:sz w:val="28"/>
          <w:szCs w:val="28"/>
        </w:rPr>
        <w:t xml:space="preserve">информирует инвестора, отвечающую сторону, членов инвестиционного комитета, а также иных приглашенных участников заседания инвестиционного комитета (при необходимости) о повестке дня заседания инвестиционного комитета, дате, месте, времени и формате его проведения; </w:t>
      </w:r>
    </w:p>
    <w:p w:rsidR="00E57160" w:rsidRPr="00431065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6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065">
        <w:rPr>
          <w:rFonts w:ascii="Times New Roman" w:hAnsi="Times New Roman" w:cs="Times New Roman"/>
          <w:sz w:val="28"/>
          <w:szCs w:val="28"/>
        </w:rPr>
        <w:t>направляет инвестору, отвечающей стороне, членам инвестиционного комитета, а также иным приглашенным участникам заседания инвестиционного комитета материалы по вопросам, подлежащим к рассмотрению на заседании инвестиционного комитета;</w:t>
      </w:r>
    </w:p>
    <w:p w:rsidR="00E57160" w:rsidRPr="00431065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65">
        <w:rPr>
          <w:rFonts w:ascii="Times New Roman" w:hAnsi="Times New Roman" w:cs="Times New Roman"/>
          <w:sz w:val="28"/>
          <w:szCs w:val="28"/>
        </w:rPr>
        <w:t>- запрашивает (при необходимости)  разъяснения агентства развития и (или) органа исполнительной власти Липецкой области о предпринятых мерах по урегулированию разногласий и споров (в случае, если меры предпринимались); при необходимости запрашивать документы от сторон;</w:t>
      </w:r>
    </w:p>
    <w:p w:rsidR="00E57160" w:rsidRPr="00431065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65">
        <w:rPr>
          <w:rFonts w:ascii="Times New Roman" w:hAnsi="Times New Roman" w:cs="Times New Roman"/>
          <w:sz w:val="28"/>
          <w:szCs w:val="28"/>
        </w:rPr>
        <w:t>- привлекает (при необходимости) к участию в заседании инвестиционного комитета иных заинтересованных лиц, не входящих в состав инвестиционного комитета, представителей территориальных органов федеральных органов исполнительной власти, а также независимых экспертов;</w:t>
      </w:r>
    </w:p>
    <w:p w:rsidR="00E57160" w:rsidRPr="00431065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65">
        <w:rPr>
          <w:rFonts w:ascii="Times New Roman" w:hAnsi="Times New Roman" w:cs="Times New Roman"/>
          <w:sz w:val="28"/>
          <w:szCs w:val="28"/>
        </w:rPr>
        <w:t>- на основе представленных документов от сторон формирует предложения (поручения) по урегулированию разногласий и споров между сторонами.</w:t>
      </w:r>
    </w:p>
    <w:p w:rsidR="00E57160" w:rsidRPr="00431065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65">
        <w:rPr>
          <w:rFonts w:ascii="Times New Roman" w:hAnsi="Times New Roman" w:cs="Times New Roman"/>
          <w:sz w:val="28"/>
          <w:szCs w:val="28"/>
        </w:rPr>
        <w:t>В случае принятия решения председателем инвестиционного комитета о нецелесообразности проведения заседания инвестиционного комитета секретарь  направляет указанное решение сторонам с указанием соответствующей причины.</w:t>
      </w:r>
    </w:p>
    <w:p w:rsidR="00E57160" w:rsidRPr="002B39B5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9B5">
        <w:rPr>
          <w:rFonts w:ascii="Times New Roman" w:hAnsi="Times New Roman" w:cs="Times New Roman"/>
          <w:sz w:val="28"/>
          <w:szCs w:val="28"/>
        </w:rPr>
        <w:t xml:space="preserve">2.6. </w:t>
      </w:r>
      <w:r w:rsidRPr="002B39B5">
        <w:rPr>
          <w:rFonts w:ascii="Times New Roman" w:hAnsi="Times New Roman" w:cs="Times New Roman"/>
          <w:sz w:val="28"/>
          <w:szCs w:val="28"/>
        </w:rPr>
        <w:tab/>
        <w:t>На заседание Инвестиционного комитета приглашаются члены Инвестиционного комитета, в сферу деятельности которых входят вопросы, обозначенные в повестке заседания Инвестиционного комитета.</w:t>
      </w:r>
    </w:p>
    <w:p w:rsidR="00E57160" w:rsidRPr="00431065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65">
        <w:rPr>
          <w:rFonts w:ascii="Times New Roman" w:hAnsi="Times New Roman" w:cs="Times New Roman"/>
          <w:sz w:val="28"/>
          <w:szCs w:val="28"/>
        </w:rPr>
        <w:t xml:space="preserve">2.7. </w:t>
      </w:r>
      <w:r w:rsidRPr="00431065">
        <w:rPr>
          <w:rFonts w:ascii="Times New Roman" w:hAnsi="Times New Roman" w:cs="Times New Roman"/>
          <w:sz w:val="28"/>
          <w:szCs w:val="28"/>
        </w:rPr>
        <w:tab/>
        <w:t>Заседание Инвестиционного комитета считается правомочным, если на нем присутствуют не менее пяти членов Инвестиционного комитета, в сферу деятельности которых входят вопросы, обозначенные в повестке заседания Инвестиционного комитета. Члены Инвестиционного комитета принимают участие в заседаниях Инвестиционного комитета лично.</w:t>
      </w:r>
    </w:p>
    <w:p w:rsidR="00E57160" w:rsidRPr="00431065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65">
        <w:rPr>
          <w:rFonts w:ascii="Times New Roman" w:hAnsi="Times New Roman" w:cs="Times New Roman"/>
          <w:sz w:val="28"/>
          <w:szCs w:val="28"/>
        </w:rPr>
        <w:t xml:space="preserve">2.8. </w:t>
      </w:r>
      <w:r w:rsidRPr="00431065">
        <w:rPr>
          <w:rFonts w:ascii="Times New Roman" w:hAnsi="Times New Roman" w:cs="Times New Roman"/>
          <w:sz w:val="28"/>
          <w:szCs w:val="28"/>
        </w:rPr>
        <w:tab/>
        <w:t>На заседания Инвестиционного комитета могут приглашаться руководители территориальных органов федеральных органов исполнительной власти, органов исполнительной власти Липецкой области, главы муниципальных образований Липецкой области, руководители организаций, предприятий, в т.ч. входящих в состав Совета (организационного штаба) по улучшению инвестиционного климата и содействию развитию конкуренции в Липецкой области по согласованию.</w:t>
      </w:r>
    </w:p>
    <w:p w:rsidR="00E57160" w:rsidRPr="00431065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65">
        <w:rPr>
          <w:rFonts w:ascii="Times New Roman" w:hAnsi="Times New Roman" w:cs="Times New Roman"/>
          <w:sz w:val="28"/>
          <w:szCs w:val="28"/>
        </w:rPr>
        <w:t>2.9. Председатель инвестиционного комитета на заседании инвестиционного комитета:</w:t>
      </w: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60">
        <w:rPr>
          <w:rFonts w:ascii="Times New Roman" w:hAnsi="Times New Roman" w:cs="Times New Roman"/>
          <w:sz w:val="28"/>
          <w:szCs w:val="28"/>
        </w:rPr>
        <w:t>проверят явку сторон;</w:t>
      </w: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60">
        <w:rPr>
          <w:rFonts w:ascii="Times New Roman" w:hAnsi="Times New Roman" w:cs="Times New Roman"/>
          <w:sz w:val="28"/>
          <w:szCs w:val="28"/>
        </w:rPr>
        <w:t>оглашает суть разногласий и споров между сторонами;</w:t>
      </w: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60">
        <w:rPr>
          <w:rFonts w:ascii="Times New Roman" w:hAnsi="Times New Roman" w:cs="Times New Roman"/>
          <w:sz w:val="28"/>
          <w:szCs w:val="28"/>
        </w:rPr>
        <w:t>разъясняет последовательность и продолжительность выступлений сторон;</w:t>
      </w: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60">
        <w:rPr>
          <w:rFonts w:ascii="Times New Roman" w:hAnsi="Times New Roman" w:cs="Times New Roman"/>
          <w:sz w:val="28"/>
          <w:szCs w:val="28"/>
        </w:rPr>
        <w:t>оглашает предложение инвестиционного комитета, в том числе свое особое мнение по сути разногласий и споров между сторонами.</w:t>
      </w: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60">
        <w:rPr>
          <w:rFonts w:ascii="Times New Roman" w:hAnsi="Times New Roman" w:cs="Times New Roman"/>
          <w:sz w:val="28"/>
          <w:szCs w:val="28"/>
        </w:rPr>
        <w:t xml:space="preserve">          2.9.1. Сторонам на заседании инвестиционного комитета рекомендуется: озвучить позицию по сути разногласия и спора; представить предложения по урегулированию разногласий и споров (при необходимости);</w:t>
      </w: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60">
        <w:rPr>
          <w:rFonts w:ascii="Times New Roman" w:hAnsi="Times New Roman" w:cs="Times New Roman"/>
          <w:sz w:val="28"/>
          <w:szCs w:val="28"/>
        </w:rPr>
        <w:t>ответить на вопросы членов инвестиционного комитета и иных заинтересованных лиц, не входящих в состав инвестиционного комитета, а также независимых экспертов; представить позицию по предложениям инвестиционного комитета.</w:t>
      </w: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60">
        <w:rPr>
          <w:rFonts w:ascii="Times New Roman" w:hAnsi="Times New Roman" w:cs="Times New Roman"/>
          <w:sz w:val="28"/>
          <w:szCs w:val="28"/>
        </w:rPr>
        <w:t xml:space="preserve">           2.9.2. Членам инвестиционного комитета на заседании инвестиционного комитета рекомендуется: задавать вопросы сторонам (при наличии); представить позицию по предложениям инвестиционного комитета.</w:t>
      </w: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60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60">
        <w:rPr>
          <w:rFonts w:ascii="Times New Roman" w:hAnsi="Times New Roman" w:cs="Times New Roman"/>
          <w:sz w:val="28"/>
          <w:szCs w:val="28"/>
        </w:rPr>
        <w:t xml:space="preserve">         2.9.3. В случае, если агентство развития и (или) орган исполнительной власти Липецкой области осуществляли меры, направленные на урегулирование разногласий и споров, представителю агентства развития Липецкой области (или) органу исполнительной власти Липецкой области рекомендуется выступить на инвестиционном комитете с разъяснением сути и результатах указанных мер.</w:t>
      </w: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60">
        <w:rPr>
          <w:rFonts w:ascii="Times New Roman" w:hAnsi="Times New Roman" w:cs="Times New Roman"/>
          <w:sz w:val="28"/>
          <w:szCs w:val="28"/>
        </w:rPr>
        <w:t xml:space="preserve">       2.9.4. В случае, если стороны выражают согласие с предложением одной из сторон, приемлемым для каждой из сторон (далее — предложение, приемлемое для каждой из сторон), разногласия и споры считаются урегулированными. Предложение, приемлемое для каждой из сторон, рекомендуется указать в протоколе.</w:t>
      </w: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60">
        <w:rPr>
          <w:rFonts w:ascii="Times New Roman" w:hAnsi="Times New Roman" w:cs="Times New Roman"/>
          <w:sz w:val="28"/>
          <w:szCs w:val="28"/>
        </w:rPr>
        <w:t xml:space="preserve">          2.9.5. В случае, если стороны не выбрали предложение, приемлемое для каждой из сторон, председателю инвестиционного комитета рекомендуется вынести предложения сторон и предложение инвестиционного комитета на голосование инвестиционного комитета в целях принятия оптимального решения для сторон по урегулированию разногласия и спора в рамках заседания инвестиционного комитета (далее - решение инвестиционного комитета).</w:t>
      </w: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60">
        <w:rPr>
          <w:rFonts w:ascii="Times New Roman" w:hAnsi="Times New Roman" w:cs="Times New Roman"/>
          <w:sz w:val="28"/>
          <w:szCs w:val="28"/>
        </w:rPr>
        <w:t>Голосование инвестиционного комитета за каждое вынесенное предложение осуществляется отдельно.</w:t>
      </w: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60">
        <w:rPr>
          <w:rFonts w:ascii="Times New Roman" w:hAnsi="Times New Roman" w:cs="Times New Roman"/>
          <w:sz w:val="28"/>
          <w:szCs w:val="28"/>
        </w:rPr>
        <w:t>Подсчет голосов и оглашение результатов рекомендуется осуществлять ответственному секретарю инвестиционного комитета.</w:t>
      </w: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60">
        <w:rPr>
          <w:rFonts w:ascii="Times New Roman" w:hAnsi="Times New Roman" w:cs="Times New Roman"/>
          <w:sz w:val="28"/>
          <w:szCs w:val="28"/>
        </w:rPr>
        <w:t>Решение инвестиционного комитета считается принятым, если за него проголосовало большинство членов инвестиционного комитета от общего числа членов инвестиционного комитета, присутствующих на заседании инвестиционного комитета.</w:t>
      </w: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60">
        <w:rPr>
          <w:rFonts w:ascii="Times New Roman" w:hAnsi="Times New Roman" w:cs="Times New Roman"/>
          <w:sz w:val="28"/>
          <w:szCs w:val="28"/>
        </w:rPr>
        <w:t>В случае равенства голосов голос председателя инвестиционного комитета является решающим.</w:t>
      </w: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60">
        <w:rPr>
          <w:rFonts w:ascii="Times New Roman" w:hAnsi="Times New Roman" w:cs="Times New Roman"/>
          <w:sz w:val="28"/>
          <w:szCs w:val="28"/>
        </w:rPr>
        <w:t>Члены инвестиционного комитета вправе проголосовать не более чем за одно предложение, вынесенное на голосование инвестиционного комитета.</w:t>
      </w: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60">
        <w:rPr>
          <w:rFonts w:ascii="Times New Roman" w:hAnsi="Times New Roman" w:cs="Times New Roman"/>
          <w:sz w:val="28"/>
          <w:szCs w:val="28"/>
        </w:rPr>
        <w:t>В случае, если стороны являются членами инвестиционного комитета, они не принимают участие в голосовании инвестиционного комитета.</w:t>
      </w: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60">
        <w:rPr>
          <w:rFonts w:ascii="Times New Roman" w:hAnsi="Times New Roman" w:cs="Times New Roman"/>
          <w:sz w:val="28"/>
          <w:szCs w:val="28"/>
        </w:rPr>
        <w:t>2.9.6. Члены инвестиционного комитета, не согласные с решением инвестиционного комитета, вправе в течение 3 рабочих дней письменно изложить и направить ответственному секретарю особое мнение, которое приобщается к протоколу.</w:t>
      </w: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60">
        <w:rPr>
          <w:rFonts w:ascii="Times New Roman" w:hAnsi="Times New Roman" w:cs="Times New Roman"/>
          <w:sz w:val="28"/>
          <w:szCs w:val="28"/>
        </w:rPr>
        <w:t>Особое мнение рекомендуется учитывать в случае повторного обращения инвестора в инвестиционный комитет по этому же вопросу.</w:t>
      </w:r>
    </w:p>
    <w:p w:rsidR="00E57160" w:rsidRPr="00431065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65">
        <w:rPr>
          <w:rFonts w:ascii="Times New Roman" w:hAnsi="Times New Roman" w:cs="Times New Roman"/>
          <w:sz w:val="28"/>
          <w:szCs w:val="28"/>
        </w:rPr>
        <w:t>Решения Инвестиционного комитета не позднее 7 рабочих дней со дня проведения заседания Инвестиционного комитета оформляются протоколом, который подписывается председательствующим на заседании Инвестиционного комитета.</w:t>
      </w:r>
    </w:p>
    <w:p w:rsidR="00E57160" w:rsidRPr="00431065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65">
        <w:rPr>
          <w:rFonts w:ascii="Times New Roman" w:hAnsi="Times New Roman" w:cs="Times New Roman"/>
          <w:sz w:val="28"/>
          <w:szCs w:val="28"/>
        </w:rPr>
        <w:t xml:space="preserve"> При необходимости протоколом может утверждаться «дорожная карта» мероприятий, направленных на урегулирование разногласий и споров. </w:t>
      </w:r>
    </w:p>
    <w:p w:rsidR="00E57160" w:rsidRPr="00431065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65">
        <w:rPr>
          <w:rFonts w:ascii="Times New Roman" w:hAnsi="Times New Roman" w:cs="Times New Roman"/>
          <w:sz w:val="28"/>
          <w:szCs w:val="28"/>
        </w:rPr>
        <w:t>2.10.</w:t>
      </w:r>
      <w:r w:rsidRPr="00431065">
        <w:rPr>
          <w:rFonts w:ascii="Times New Roman" w:hAnsi="Times New Roman" w:cs="Times New Roman"/>
          <w:sz w:val="28"/>
          <w:szCs w:val="28"/>
        </w:rPr>
        <w:tab/>
        <w:t>Решения Инвестиционного комитета носят рекомендательный характер.</w:t>
      </w:r>
    </w:p>
    <w:p w:rsidR="00E57160" w:rsidRPr="00431065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065">
        <w:rPr>
          <w:rFonts w:ascii="Times New Roman" w:hAnsi="Times New Roman" w:cs="Times New Roman"/>
          <w:sz w:val="28"/>
          <w:szCs w:val="28"/>
        </w:rPr>
        <w:t xml:space="preserve">2.11. </w:t>
      </w:r>
      <w:r w:rsidRPr="00431065">
        <w:rPr>
          <w:rFonts w:ascii="Times New Roman" w:hAnsi="Times New Roman" w:cs="Times New Roman"/>
          <w:sz w:val="28"/>
          <w:szCs w:val="28"/>
        </w:rPr>
        <w:tab/>
        <w:t>Секретарь Инвестиционного комитета рассылает копии протокола всем членам Инвестиционного комитета в течение пяти дней со дня его подписания.</w:t>
      </w: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60">
        <w:rPr>
          <w:rFonts w:ascii="Times New Roman" w:hAnsi="Times New Roman" w:cs="Times New Roman"/>
          <w:sz w:val="28"/>
          <w:szCs w:val="28"/>
        </w:rPr>
        <w:t xml:space="preserve">       Выписки из протокола при необходимости могут быть направлены в Торгово-промышленную палату Российской Федерации, общероссийским общественным организациям «Российский союз промышленников и предпринимателей», «ОПОРА РОССИИ», «Деловая Россия», уполномоченному по защите прав предпринимателей в Липецкой области, агентству инвестиционного развития Липецкой области для учета в работе по поддержке инвестора.</w:t>
      </w: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7160">
        <w:rPr>
          <w:rFonts w:ascii="Times New Roman" w:hAnsi="Times New Roman" w:cs="Times New Roman"/>
          <w:sz w:val="28"/>
          <w:szCs w:val="28"/>
        </w:rPr>
        <w:t xml:space="preserve">         В случае, если решение инвестиционного комитета не исполнено в указанный в протоколе срок, инвестор вправе повторно обратиться в инвестиционный комитет. В заявлении указывается дата и номер протокола и информация о неисполненном решении инвестиционного комитета.</w:t>
      </w:r>
    </w:p>
    <w:p w:rsid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31065">
        <w:rPr>
          <w:rFonts w:ascii="Times New Roman" w:hAnsi="Times New Roman" w:cs="Times New Roman"/>
          <w:sz w:val="28"/>
          <w:szCs w:val="28"/>
        </w:rPr>
        <w:t xml:space="preserve">2.12. </w:t>
      </w:r>
      <w:r w:rsidRPr="00431065">
        <w:rPr>
          <w:rFonts w:ascii="Times New Roman" w:hAnsi="Times New Roman" w:cs="Times New Roman"/>
          <w:sz w:val="28"/>
          <w:szCs w:val="28"/>
        </w:rPr>
        <w:tab/>
        <w:t>Организационно-техническое обеспечение деятельности Инвестиционного комитета осуществляет управление инвестиций и инноваций Липецкой области.</w:t>
      </w: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7160" w:rsidRPr="00E57160" w:rsidRDefault="00E57160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73E" w:rsidRPr="00E57160" w:rsidRDefault="0024773E" w:rsidP="00E57160">
      <w:pPr>
        <w:pStyle w:val="ConsPlusNormal"/>
        <w:tabs>
          <w:tab w:val="left" w:pos="1276"/>
        </w:tabs>
        <w:spacing w:before="22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4773E" w:rsidRPr="00E57160" w:rsidSect="009065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851" w:bottom="426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441" w:rsidRDefault="00F86441">
      <w:r>
        <w:separator/>
      </w:r>
    </w:p>
  </w:endnote>
  <w:endnote w:type="continuationSeparator" w:id="0">
    <w:p w:rsidR="00F86441" w:rsidRDefault="00F8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33F" w:rsidRDefault="0090533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533F" w:rsidRDefault="0090533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33F" w:rsidRDefault="0090533F">
    <w:pPr>
      <w:pStyle w:val="a3"/>
      <w:framePr w:wrap="around" w:vAnchor="text" w:hAnchor="margin" w:xAlign="right" w:y="1"/>
      <w:rPr>
        <w:rStyle w:val="a4"/>
      </w:rPr>
    </w:pPr>
  </w:p>
  <w:p w:rsidR="0090533F" w:rsidRDefault="0090533F" w:rsidP="005939EA">
    <w:pPr>
      <w:pStyle w:val="a3"/>
      <w:ind w:right="360" w:firstLine="0"/>
    </w:pPr>
    <w:bookmarkStart w:id="1" w:name="REGNUMDATESTAMP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9EA" w:rsidRDefault="005939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441" w:rsidRDefault="00F86441">
      <w:r>
        <w:separator/>
      </w:r>
    </w:p>
  </w:footnote>
  <w:footnote w:type="continuationSeparator" w:id="0">
    <w:p w:rsidR="00F86441" w:rsidRDefault="00F86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9EA" w:rsidRDefault="005939E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9EA" w:rsidRDefault="005939E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9EA" w:rsidRDefault="005939E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B8E140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5DD17A3"/>
    <w:multiLevelType w:val="hybridMultilevel"/>
    <w:tmpl w:val="99EC7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019F2"/>
    <w:multiLevelType w:val="hybridMultilevel"/>
    <w:tmpl w:val="C54C811C"/>
    <w:lvl w:ilvl="0" w:tplc="D698291E">
      <w:numFmt w:val="bullet"/>
      <w:lvlText w:val="-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0A7FE6"/>
    <w:multiLevelType w:val="hybridMultilevel"/>
    <w:tmpl w:val="3488CE0A"/>
    <w:lvl w:ilvl="0" w:tplc="638EDA5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3033EA"/>
    <w:multiLevelType w:val="hybridMultilevel"/>
    <w:tmpl w:val="04DA5C32"/>
    <w:lvl w:ilvl="0" w:tplc="4D58B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F20BAA"/>
    <w:multiLevelType w:val="multilevel"/>
    <w:tmpl w:val="27460A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3A5F0BDE"/>
    <w:multiLevelType w:val="hybridMultilevel"/>
    <w:tmpl w:val="38E03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12286"/>
    <w:multiLevelType w:val="hybridMultilevel"/>
    <w:tmpl w:val="6B9A7294"/>
    <w:lvl w:ilvl="0" w:tplc="B1360C40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583F3866"/>
    <w:multiLevelType w:val="hybridMultilevel"/>
    <w:tmpl w:val="9A2E61B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7A491DF7"/>
    <w:multiLevelType w:val="singleLevel"/>
    <w:tmpl w:val="A10CE8C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0">
    <w:nsid w:val="7CEA619F"/>
    <w:multiLevelType w:val="hybridMultilevel"/>
    <w:tmpl w:val="A2C8489A"/>
    <w:lvl w:ilvl="0" w:tplc="6FD6E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41"/>
    <w:rsid w:val="00012859"/>
    <w:rsid w:val="00021F7F"/>
    <w:rsid w:val="00022357"/>
    <w:rsid w:val="00035271"/>
    <w:rsid w:val="0003581D"/>
    <w:rsid w:val="00052674"/>
    <w:rsid w:val="000544DE"/>
    <w:rsid w:val="00062C10"/>
    <w:rsid w:val="00067E8B"/>
    <w:rsid w:val="00077ECD"/>
    <w:rsid w:val="00081C78"/>
    <w:rsid w:val="000843DD"/>
    <w:rsid w:val="000939AA"/>
    <w:rsid w:val="000973F8"/>
    <w:rsid w:val="000A506B"/>
    <w:rsid w:val="000B42C4"/>
    <w:rsid w:val="000D4AD3"/>
    <w:rsid w:val="000D53CC"/>
    <w:rsid w:val="000E48A6"/>
    <w:rsid w:val="000E6289"/>
    <w:rsid w:val="000F0CA4"/>
    <w:rsid w:val="00105FF2"/>
    <w:rsid w:val="00121E10"/>
    <w:rsid w:val="00122AFD"/>
    <w:rsid w:val="00125DEA"/>
    <w:rsid w:val="00142243"/>
    <w:rsid w:val="00157947"/>
    <w:rsid w:val="00161707"/>
    <w:rsid w:val="00171055"/>
    <w:rsid w:val="00171FDE"/>
    <w:rsid w:val="00195091"/>
    <w:rsid w:val="00196256"/>
    <w:rsid w:val="001B32D5"/>
    <w:rsid w:val="001C1B78"/>
    <w:rsid w:val="001D6958"/>
    <w:rsid w:val="001E0BF7"/>
    <w:rsid w:val="001E34A2"/>
    <w:rsid w:val="00202431"/>
    <w:rsid w:val="00203123"/>
    <w:rsid w:val="00203250"/>
    <w:rsid w:val="00221A39"/>
    <w:rsid w:val="00231CF6"/>
    <w:rsid w:val="0023790B"/>
    <w:rsid w:val="00245F54"/>
    <w:rsid w:val="0024773E"/>
    <w:rsid w:val="00251129"/>
    <w:rsid w:val="00256366"/>
    <w:rsid w:val="0026102B"/>
    <w:rsid w:val="00265A43"/>
    <w:rsid w:val="002A44D9"/>
    <w:rsid w:val="002C20D5"/>
    <w:rsid w:val="002C4CDF"/>
    <w:rsid w:val="002C67DA"/>
    <w:rsid w:val="002D58A1"/>
    <w:rsid w:val="002D6AFE"/>
    <w:rsid w:val="002E3451"/>
    <w:rsid w:val="002E544D"/>
    <w:rsid w:val="002F5AEE"/>
    <w:rsid w:val="002F5D9F"/>
    <w:rsid w:val="002F76B4"/>
    <w:rsid w:val="002F7AFA"/>
    <w:rsid w:val="003047D6"/>
    <w:rsid w:val="00304819"/>
    <w:rsid w:val="00311B4B"/>
    <w:rsid w:val="0031420F"/>
    <w:rsid w:val="00320674"/>
    <w:rsid w:val="00320A4F"/>
    <w:rsid w:val="00321A29"/>
    <w:rsid w:val="00330C55"/>
    <w:rsid w:val="00332264"/>
    <w:rsid w:val="00334335"/>
    <w:rsid w:val="003370F6"/>
    <w:rsid w:val="00337E49"/>
    <w:rsid w:val="003406C1"/>
    <w:rsid w:val="00340F60"/>
    <w:rsid w:val="00341683"/>
    <w:rsid w:val="0034289C"/>
    <w:rsid w:val="0035581B"/>
    <w:rsid w:val="00393B00"/>
    <w:rsid w:val="003E0ADD"/>
    <w:rsid w:val="003E40D1"/>
    <w:rsid w:val="003F1286"/>
    <w:rsid w:val="003F302E"/>
    <w:rsid w:val="0040348C"/>
    <w:rsid w:val="00404456"/>
    <w:rsid w:val="00405A3B"/>
    <w:rsid w:val="0040621E"/>
    <w:rsid w:val="00407A38"/>
    <w:rsid w:val="00407BAD"/>
    <w:rsid w:val="00423825"/>
    <w:rsid w:val="0042599E"/>
    <w:rsid w:val="00431D01"/>
    <w:rsid w:val="0043246B"/>
    <w:rsid w:val="00433813"/>
    <w:rsid w:val="004349F2"/>
    <w:rsid w:val="004466DA"/>
    <w:rsid w:val="004523D2"/>
    <w:rsid w:val="00472B33"/>
    <w:rsid w:val="00482593"/>
    <w:rsid w:val="00487D35"/>
    <w:rsid w:val="004B6368"/>
    <w:rsid w:val="004B74ED"/>
    <w:rsid w:val="004D3C53"/>
    <w:rsid w:val="004D4109"/>
    <w:rsid w:val="004F063F"/>
    <w:rsid w:val="005063B2"/>
    <w:rsid w:val="00510321"/>
    <w:rsid w:val="00513C2A"/>
    <w:rsid w:val="00525CAF"/>
    <w:rsid w:val="00537FC9"/>
    <w:rsid w:val="005412A0"/>
    <w:rsid w:val="00544AD1"/>
    <w:rsid w:val="00545DA4"/>
    <w:rsid w:val="00557B07"/>
    <w:rsid w:val="0056008F"/>
    <w:rsid w:val="00561475"/>
    <w:rsid w:val="00561E2D"/>
    <w:rsid w:val="00571D0C"/>
    <w:rsid w:val="00587B32"/>
    <w:rsid w:val="005939EA"/>
    <w:rsid w:val="005A224B"/>
    <w:rsid w:val="005C514C"/>
    <w:rsid w:val="0061322D"/>
    <w:rsid w:val="00616EDE"/>
    <w:rsid w:val="00620B96"/>
    <w:rsid w:val="006302F8"/>
    <w:rsid w:val="00656339"/>
    <w:rsid w:val="0065669A"/>
    <w:rsid w:val="006652AB"/>
    <w:rsid w:val="0067000C"/>
    <w:rsid w:val="00670890"/>
    <w:rsid w:val="00671AC2"/>
    <w:rsid w:val="006771A5"/>
    <w:rsid w:val="00680434"/>
    <w:rsid w:val="00680506"/>
    <w:rsid w:val="006808F8"/>
    <w:rsid w:val="00681546"/>
    <w:rsid w:val="00693480"/>
    <w:rsid w:val="00697A37"/>
    <w:rsid w:val="006A5827"/>
    <w:rsid w:val="006B6F01"/>
    <w:rsid w:val="006C4CDF"/>
    <w:rsid w:val="006C6D91"/>
    <w:rsid w:val="006D44EF"/>
    <w:rsid w:val="006D6337"/>
    <w:rsid w:val="006E5D53"/>
    <w:rsid w:val="006F45CB"/>
    <w:rsid w:val="00700607"/>
    <w:rsid w:val="007141D2"/>
    <w:rsid w:val="00732598"/>
    <w:rsid w:val="00734A3D"/>
    <w:rsid w:val="007607D7"/>
    <w:rsid w:val="00762D38"/>
    <w:rsid w:val="007649AC"/>
    <w:rsid w:val="0077123E"/>
    <w:rsid w:val="00790FA9"/>
    <w:rsid w:val="00795B52"/>
    <w:rsid w:val="007E04BB"/>
    <w:rsid w:val="00806624"/>
    <w:rsid w:val="008066F8"/>
    <w:rsid w:val="00822AD1"/>
    <w:rsid w:val="00823744"/>
    <w:rsid w:val="0084631F"/>
    <w:rsid w:val="00846CB2"/>
    <w:rsid w:val="00852F33"/>
    <w:rsid w:val="0087403B"/>
    <w:rsid w:val="008C06DF"/>
    <w:rsid w:val="008D4F70"/>
    <w:rsid w:val="008D6F2E"/>
    <w:rsid w:val="008E69D5"/>
    <w:rsid w:val="008F7962"/>
    <w:rsid w:val="00902DFF"/>
    <w:rsid w:val="0090533F"/>
    <w:rsid w:val="009065CB"/>
    <w:rsid w:val="0091152B"/>
    <w:rsid w:val="00930209"/>
    <w:rsid w:val="00940E19"/>
    <w:rsid w:val="009466AE"/>
    <w:rsid w:val="009470AF"/>
    <w:rsid w:val="0095775E"/>
    <w:rsid w:val="00964CED"/>
    <w:rsid w:val="009702CF"/>
    <w:rsid w:val="00970FD4"/>
    <w:rsid w:val="00976ACB"/>
    <w:rsid w:val="009819CF"/>
    <w:rsid w:val="00986DB6"/>
    <w:rsid w:val="009B015D"/>
    <w:rsid w:val="00A05C98"/>
    <w:rsid w:val="00A07534"/>
    <w:rsid w:val="00A22F5F"/>
    <w:rsid w:val="00A236AD"/>
    <w:rsid w:val="00A23AB3"/>
    <w:rsid w:val="00A25F8F"/>
    <w:rsid w:val="00A263C3"/>
    <w:rsid w:val="00A402A2"/>
    <w:rsid w:val="00A44B68"/>
    <w:rsid w:val="00A47E72"/>
    <w:rsid w:val="00A56803"/>
    <w:rsid w:val="00A61AC3"/>
    <w:rsid w:val="00A67550"/>
    <w:rsid w:val="00A70BE9"/>
    <w:rsid w:val="00A83184"/>
    <w:rsid w:val="00A87519"/>
    <w:rsid w:val="00A95F15"/>
    <w:rsid w:val="00AA7C95"/>
    <w:rsid w:val="00AB188E"/>
    <w:rsid w:val="00AB21D7"/>
    <w:rsid w:val="00AB66E1"/>
    <w:rsid w:val="00AC6838"/>
    <w:rsid w:val="00AE57A7"/>
    <w:rsid w:val="00AE699D"/>
    <w:rsid w:val="00AF33AB"/>
    <w:rsid w:val="00B016CC"/>
    <w:rsid w:val="00B15978"/>
    <w:rsid w:val="00B22563"/>
    <w:rsid w:val="00B3048A"/>
    <w:rsid w:val="00B45426"/>
    <w:rsid w:val="00B54EE4"/>
    <w:rsid w:val="00B63FE5"/>
    <w:rsid w:val="00B666D5"/>
    <w:rsid w:val="00B67AFC"/>
    <w:rsid w:val="00B719C1"/>
    <w:rsid w:val="00B741B4"/>
    <w:rsid w:val="00B76A07"/>
    <w:rsid w:val="00B96C58"/>
    <w:rsid w:val="00B96F43"/>
    <w:rsid w:val="00BA1D9B"/>
    <w:rsid w:val="00BA4B22"/>
    <w:rsid w:val="00BA517C"/>
    <w:rsid w:val="00BA5509"/>
    <w:rsid w:val="00BB0C4E"/>
    <w:rsid w:val="00BB3204"/>
    <w:rsid w:val="00BB64B9"/>
    <w:rsid w:val="00BD6F31"/>
    <w:rsid w:val="00BE3343"/>
    <w:rsid w:val="00BE55A2"/>
    <w:rsid w:val="00BE770D"/>
    <w:rsid w:val="00C0609D"/>
    <w:rsid w:val="00C106C1"/>
    <w:rsid w:val="00C115C8"/>
    <w:rsid w:val="00C337F9"/>
    <w:rsid w:val="00C3610D"/>
    <w:rsid w:val="00C51443"/>
    <w:rsid w:val="00C67B86"/>
    <w:rsid w:val="00C963F9"/>
    <w:rsid w:val="00CA47C6"/>
    <w:rsid w:val="00CB191A"/>
    <w:rsid w:val="00CB3004"/>
    <w:rsid w:val="00CD0215"/>
    <w:rsid w:val="00CD410E"/>
    <w:rsid w:val="00CE1EE4"/>
    <w:rsid w:val="00CE2B4E"/>
    <w:rsid w:val="00CE2C3F"/>
    <w:rsid w:val="00CE40F9"/>
    <w:rsid w:val="00D03942"/>
    <w:rsid w:val="00D10E36"/>
    <w:rsid w:val="00D20BF6"/>
    <w:rsid w:val="00D2440F"/>
    <w:rsid w:val="00D27C99"/>
    <w:rsid w:val="00D32E26"/>
    <w:rsid w:val="00D34E32"/>
    <w:rsid w:val="00D51700"/>
    <w:rsid w:val="00D51D0F"/>
    <w:rsid w:val="00D73820"/>
    <w:rsid w:val="00D77D26"/>
    <w:rsid w:val="00D80298"/>
    <w:rsid w:val="00D81BCE"/>
    <w:rsid w:val="00D82EE2"/>
    <w:rsid w:val="00D846AE"/>
    <w:rsid w:val="00D871EC"/>
    <w:rsid w:val="00D975BE"/>
    <w:rsid w:val="00DA001C"/>
    <w:rsid w:val="00DA11B7"/>
    <w:rsid w:val="00DA1AC9"/>
    <w:rsid w:val="00DC4856"/>
    <w:rsid w:val="00DE3D31"/>
    <w:rsid w:val="00DE3F6F"/>
    <w:rsid w:val="00DE7BEE"/>
    <w:rsid w:val="00DF01E5"/>
    <w:rsid w:val="00DF3C8A"/>
    <w:rsid w:val="00E04535"/>
    <w:rsid w:val="00E22605"/>
    <w:rsid w:val="00E5224B"/>
    <w:rsid w:val="00E57160"/>
    <w:rsid w:val="00E65A80"/>
    <w:rsid w:val="00E76537"/>
    <w:rsid w:val="00E84D07"/>
    <w:rsid w:val="00E93B09"/>
    <w:rsid w:val="00EA176D"/>
    <w:rsid w:val="00EB6195"/>
    <w:rsid w:val="00EB78AE"/>
    <w:rsid w:val="00EC496E"/>
    <w:rsid w:val="00EC5964"/>
    <w:rsid w:val="00ED0A1D"/>
    <w:rsid w:val="00ED426B"/>
    <w:rsid w:val="00ED469B"/>
    <w:rsid w:val="00ED469D"/>
    <w:rsid w:val="00EE50C8"/>
    <w:rsid w:val="00F061B1"/>
    <w:rsid w:val="00F10236"/>
    <w:rsid w:val="00F10FAB"/>
    <w:rsid w:val="00F12D7E"/>
    <w:rsid w:val="00F2260F"/>
    <w:rsid w:val="00F23417"/>
    <w:rsid w:val="00F34B18"/>
    <w:rsid w:val="00F351E1"/>
    <w:rsid w:val="00F410C6"/>
    <w:rsid w:val="00F44281"/>
    <w:rsid w:val="00F548BE"/>
    <w:rsid w:val="00F56823"/>
    <w:rsid w:val="00F61D00"/>
    <w:rsid w:val="00F744E8"/>
    <w:rsid w:val="00F8511A"/>
    <w:rsid w:val="00F86441"/>
    <w:rsid w:val="00F93672"/>
    <w:rsid w:val="00FB73E1"/>
    <w:rsid w:val="00FD08EB"/>
    <w:rsid w:val="00FE2175"/>
    <w:rsid w:val="00FF1238"/>
    <w:rsid w:val="00FF17F7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160"/>
    <w:pPr>
      <w:suppressAutoHyphens/>
      <w:spacing w:line="480" w:lineRule="atLeast"/>
      <w:ind w:firstLine="851"/>
      <w:jc w:val="both"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341683"/>
    <w:pPr>
      <w:keepNext/>
      <w:suppressAutoHyphens w:val="0"/>
      <w:spacing w:line="240" w:lineRule="auto"/>
      <w:ind w:firstLine="0"/>
      <w:jc w:val="left"/>
      <w:outlineLvl w:val="0"/>
    </w:pPr>
    <w:rPr>
      <w:rFonts w:eastAsia="Arial Unicode MS"/>
      <w:szCs w:val="24"/>
      <w:lang w:eastAsia="ru-RU"/>
    </w:rPr>
  </w:style>
  <w:style w:type="paragraph" w:styleId="3">
    <w:name w:val="heading 3"/>
    <w:basedOn w:val="a"/>
    <w:next w:val="a"/>
    <w:qFormat/>
    <w:pPr>
      <w:keepNext/>
      <w:suppressAutoHyphens w:val="0"/>
      <w:spacing w:line="240" w:lineRule="auto"/>
      <w:ind w:firstLine="0"/>
      <w:jc w:val="left"/>
      <w:outlineLvl w:val="2"/>
    </w:pPr>
    <w:rPr>
      <w:szCs w:val="24"/>
      <w:lang w:eastAsia="ru-RU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spacing w:line="240" w:lineRule="auto"/>
      <w:ind w:firstLine="0"/>
      <w:jc w:val="left"/>
      <w:outlineLvl w:val="4"/>
    </w:pPr>
    <w:rPr>
      <w:rFonts w:eastAsia="Arial Unicode MS"/>
      <w:b/>
      <w:bCs/>
      <w:szCs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spacing w:line="240" w:lineRule="auto"/>
      <w:ind w:left="420" w:firstLine="0"/>
      <w:jc w:val="left"/>
      <w:outlineLvl w:val="5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a5">
    <w:name w:val="подпись"/>
    <w:basedOn w:val="a"/>
    <w:pPr>
      <w:tabs>
        <w:tab w:val="left" w:pos="6804"/>
      </w:tabs>
      <w:spacing w:line="240" w:lineRule="atLeast"/>
      <w:ind w:right="4820" w:firstLine="0"/>
      <w:jc w:val="left"/>
    </w:p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uppressAutoHyphens w:val="0"/>
      <w:spacing w:line="240" w:lineRule="auto"/>
    </w:pPr>
    <w:rPr>
      <w:szCs w:val="28"/>
      <w:lang w:eastAsia="ru-RU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Title"/>
    <w:basedOn w:val="a"/>
    <w:next w:val="aa"/>
    <w:qFormat/>
    <w:pPr>
      <w:suppressAutoHyphens w:val="0"/>
      <w:spacing w:line="240" w:lineRule="auto"/>
      <w:ind w:firstLine="0"/>
      <w:jc w:val="center"/>
    </w:pPr>
    <w:rPr>
      <w:szCs w:val="24"/>
      <w:lang w:eastAsia="ru-RU"/>
    </w:rPr>
  </w:style>
  <w:style w:type="paragraph" w:styleId="aa">
    <w:name w:val="Body Text"/>
    <w:basedOn w:val="a"/>
    <w:pPr>
      <w:spacing w:after="120"/>
    </w:pPr>
  </w:style>
  <w:style w:type="paragraph" w:styleId="ab">
    <w:name w:val="Balloon Text"/>
    <w:basedOn w:val="a"/>
    <w:semiHidden/>
    <w:rsid w:val="000F0CA4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rsid w:val="008D4F70"/>
    <w:rPr>
      <w:sz w:val="28"/>
      <w:lang w:val="ru-RU" w:eastAsia="ar-SA" w:bidi="ar-SA"/>
    </w:rPr>
  </w:style>
  <w:style w:type="paragraph" w:customStyle="1" w:styleId="10">
    <w:name w:val="Без интервала1"/>
    <w:rsid w:val="0065669A"/>
    <w:rPr>
      <w:rFonts w:ascii="Calibri" w:hAnsi="Calibri"/>
      <w:sz w:val="22"/>
      <w:szCs w:val="22"/>
    </w:rPr>
  </w:style>
  <w:style w:type="table" w:styleId="ac">
    <w:name w:val="Table Grid"/>
    <w:basedOn w:val="a1"/>
    <w:rsid w:val="00E65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72B33"/>
    <w:pPr>
      <w:widowControl w:val="0"/>
      <w:suppressAutoHyphens w:val="0"/>
      <w:autoSpaceDE w:val="0"/>
      <w:autoSpaceDN w:val="0"/>
      <w:adjustRightInd w:val="0"/>
      <w:spacing w:line="240" w:lineRule="auto"/>
      <w:ind w:left="720" w:firstLine="0"/>
      <w:contextualSpacing/>
      <w:jc w:val="left"/>
    </w:pPr>
    <w:rPr>
      <w:rFonts w:eastAsiaTheme="minorEastAsia"/>
      <w:sz w:val="20"/>
      <w:lang w:eastAsia="ru-RU"/>
    </w:rPr>
  </w:style>
  <w:style w:type="character" w:styleId="ae">
    <w:name w:val="Emphasis"/>
    <w:basedOn w:val="a0"/>
    <w:uiPriority w:val="20"/>
    <w:qFormat/>
    <w:rsid w:val="00BB3204"/>
    <w:rPr>
      <w:i/>
      <w:iCs/>
    </w:rPr>
  </w:style>
  <w:style w:type="character" w:customStyle="1" w:styleId="af">
    <w:name w:val="Основной текст_"/>
    <w:basedOn w:val="a0"/>
    <w:link w:val="11"/>
    <w:locked/>
    <w:rsid w:val="00FF1238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f"/>
    <w:rsid w:val="00FF1238"/>
    <w:pPr>
      <w:widowControl w:val="0"/>
      <w:shd w:val="clear" w:color="auto" w:fill="FFFFFF"/>
      <w:suppressAutoHyphens w:val="0"/>
      <w:spacing w:line="240" w:lineRule="auto"/>
      <w:ind w:firstLine="400"/>
      <w:jc w:val="left"/>
    </w:pPr>
    <w:rPr>
      <w:rFonts w:ascii="Arial" w:eastAsia="Arial" w:hAnsi="Arial" w:cs="Arial"/>
      <w:sz w:val="20"/>
      <w:lang w:eastAsia="ru-RU"/>
    </w:rPr>
  </w:style>
  <w:style w:type="character" w:styleId="af0">
    <w:name w:val="Hyperlink"/>
    <w:basedOn w:val="a0"/>
    <w:uiPriority w:val="99"/>
    <w:rsid w:val="00C0609D"/>
    <w:rPr>
      <w:color w:val="0563C1" w:themeColor="hyperlink"/>
      <w:u w:val="single"/>
    </w:rPr>
  </w:style>
  <w:style w:type="paragraph" w:customStyle="1" w:styleId="ConsPlusNormal">
    <w:name w:val="ConsPlusNormal"/>
    <w:rsid w:val="00E5716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160"/>
    <w:pPr>
      <w:suppressAutoHyphens/>
      <w:spacing w:line="480" w:lineRule="atLeast"/>
      <w:ind w:firstLine="851"/>
      <w:jc w:val="both"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341683"/>
    <w:pPr>
      <w:keepNext/>
      <w:suppressAutoHyphens w:val="0"/>
      <w:spacing w:line="240" w:lineRule="auto"/>
      <w:ind w:firstLine="0"/>
      <w:jc w:val="left"/>
      <w:outlineLvl w:val="0"/>
    </w:pPr>
    <w:rPr>
      <w:rFonts w:eastAsia="Arial Unicode MS"/>
      <w:szCs w:val="24"/>
      <w:lang w:eastAsia="ru-RU"/>
    </w:rPr>
  </w:style>
  <w:style w:type="paragraph" w:styleId="3">
    <w:name w:val="heading 3"/>
    <w:basedOn w:val="a"/>
    <w:next w:val="a"/>
    <w:qFormat/>
    <w:pPr>
      <w:keepNext/>
      <w:suppressAutoHyphens w:val="0"/>
      <w:spacing w:line="240" w:lineRule="auto"/>
      <w:ind w:firstLine="0"/>
      <w:jc w:val="left"/>
      <w:outlineLvl w:val="2"/>
    </w:pPr>
    <w:rPr>
      <w:szCs w:val="24"/>
      <w:lang w:eastAsia="ru-RU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spacing w:line="240" w:lineRule="auto"/>
      <w:ind w:firstLine="0"/>
      <w:jc w:val="left"/>
      <w:outlineLvl w:val="4"/>
    </w:pPr>
    <w:rPr>
      <w:rFonts w:eastAsia="Arial Unicode MS"/>
      <w:b/>
      <w:bCs/>
      <w:szCs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spacing w:line="240" w:lineRule="auto"/>
      <w:ind w:left="420" w:firstLine="0"/>
      <w:jc w:val="left"/>
      <w:outlineLvl w:val="5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a5">
    <w:name w:val="подпись"/>
    <w:basedOn w:val="a"/>
    <w:pPr>
      <w:tabs>
        <w:tab w:val="left" w:pos="6804"/>
      </w:tabs>
      <w:spacing w:line="240" w:lineRule="atLeast"/>
      <w:ind w:right="4820" w:firstLine="0"/>
      <w:jc w:val="left"/>
    </w:p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uppressAutoHyphens w:val="0"/>
      <w:spacing w:line="240" w:lineRule="auto"/>
    </w:pPr>
    <w:rPr>
      <w:szCs w:val="28"/>
      <w:lang w:eastAsia="ru-RU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Title"/>
    <w:basedOn w:val="a"/>
    <w:next w:val="aa"/>
    <w:qFormat/>
    <w:pPr>
      <w:suppressAutoHyphens w:val="0"/>
      <w:spacing w:line="240" w:lineRule="auto"/>
      <w:ind w:firstLine="0"/>
      <w:jc w:val="center"/>
    </w:pPr>
    <w:rPr>
      <w:szCs w:val="24"/>
      <w:lang w:eastAsia="ru-RU"/>
    </w:rPr>
  </w:style>
  <w:style w:type="paragraph" w:styleId="aa">
    <w:name w:val="Body Text"/>
    <w:basedOn w:val="a"/>
    <w:pPr>
      <w:spacing w:after="120"/>
    </w:pPr>
  </w:style>
  <w:style w:type="paragraph" w:styleId="ab">
    <w:name w:val="Balloon Text"/>
    <w:basedOn w:val="a"/>
    <w:semiHidden/>
    <w:rsid w:val="000F0CA4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rsid w:val="008D4F70"/>
    <w:rPr>
      <w:sz w:val="28"/>
      <w:lang w:val="ru-RU" w:eastAsia="ar-SA" w:bidi="ar-SA"/>
    </w:rPr>
  </w:style>
  <w:style w:type="paragraph" w:customStyle="1" w:styleId="10">
    <w:name w:val="Без интервала1"/>
    <w:rsid w:val="0065669A"/>
    <w:rPr>
      <w:rFonts w:ascii="Calibri" w:hAnsi="Calibri"/>
      <w:sz w:val="22"/>
      <w:szCs w:val="22"/>
    </w:rPr>
  </w:style>
  <w:style w:type="table" w:styleId="ac">
    <w:name w:val="Table Grid"/>
    <w:basedOn w:val="a1"/>
    <w:rsid w:val="00E65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72B33"/>
    <w:pPr>
      <w:widowControl w:val="0"/>
      <w:suppressAutoHyphens w:val="0"/>
      <w:autoSpaceDE w:val="0"/>
      <w:autoSpaceDN w:val="0"/>
      <w:adjustRightInd w:val="0"/>
      <w:spacing w:line="240" w:lineRule="auto"/>
      <w:ind w:left="720" w:firstLine="0"/>
      <w:contextualSpacing/>
      <w:jc w:val="left"/>
    </w:pPr>
    <w:rPr>
      <w:rFonts w:eastAsiaTheme="minorEastAsia"/>
      <w:sz w:val="20"/>
      <w:lang w:eastAsia="ru-RU"/>
    </w:rPr>
  </w:style>
  <w:style w:type="character" w:styleId="ae">
    <w:name w:val="Emphasis"/>
    <w:basedOn w:val="a0"/>
    <w:uiPriority w:val="20"/>
    <w:qFormat/>
    <w:rsid w:val="00BB3204"/>
    <w:rPr>
      <w:i/>
      <w:iCs/>
    </w:rPr>
  </w:style>
  <w:style w:type="character" w:customStyle="1" w:styleId="af">
    <w:name w:val="Основной текст_"/>
    <w:basedOn w:val="a0"/>
    <w:link w:val="11"/>
    <w:locked/>
    <w:rsid w:val="00FF1238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f"/>
    <w:rsid w:val="00FF1238"/>
    <w:pPr>
      <w:widowControl w:val="0"/>
      <w:shd w:val="clear" w:color="auto" w:fill="FFFFFF"/>
      <w:suppressAutoHyphens w:val="0"/>
      <w:spacing w:line="240" w:lineRule="auto"/>
      <w:ind w:firstLine="400"/>
      <w:jc w:val="left"/>
    </w:pPr>
    <w:rPr>
      <w:rFonts w:ascii="Arial" w:eastAsia="Arial" w:hAnsi="Arial" w:cs="Arial"/>
      <w:sz w:val="20"/>
      <w:lang w:eastAsia="ru-RU"/>
    </w:rPr>
  </w:style>
  <w:style w:type="character" w:styleId="af0">
    <w:name w:val="Hyperlink"/>
    <w:basedOn w:val="a0"/>
    <w:uiPriority w:val="99"/>
    <w:rsid w:val="00C0609D"/>
    <w:rPr>
      <w:color w:val="0563C1" w:themeColor="hyperlink"/>
      <w:u w:val="single"/>
    </w:rPr>
  </w:style>
  <w:style w:type="paragraph" w:customStyle="1" w:styleId="ConsPlusNormal">
    <w:name w:val="ConsPlusNormal"/>
    <w:rsid w:val="00E5716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24-lxy73l.bitrix24.site/crm_form_jj7iw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ir@admlr.lipetsk.ru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achevaev\Downloads\&#1064;&#1072;&#1073;&#1083;&#1086;&#1085;%20&#1087;&#1088;&#1086;&#1090;&#1086;&#1082;&#1086;&#1083;&#1072;%20&#1089;&#1086;&#1074;&#1077;&#1097;&#1072;&#1085;&#1080;&#1103;%20&#1043;&#1091;&#1073;&#1077;&#1088;&#1085;&#1072;&#1090;&#1086;&#1088;&#1072;%20&#1051;&#1080;&#1087;&#1077;&#1094;&#1082;&#1086;&#1081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протокола совещания Губернатора Липецкой области.dotx</Template>
  <TotalTime>1</TotalTime>
  <Pages>8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совещания со специалистами муниципальных органов управления образованием</vt:lpstr>
    </vt:vector>
  </TitlesOfParts>
  <Company>DEPTNO</Company>
  <LinksUpToDate>false</LinksUpToDate>
  <CharactersWithSpaces>15205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совещания со специалистами муниципальных органов управления образованием</dc:title>
  <dc:creator>Косачева Елена Валерьевна</dc:creator>
  <cp:lastModifiedBy>user</cp:lastModifiedBy>
  <cp:revision>2</cp:revision>
  <cp:lastPrinted>2023-09-07T06:17:00Z</cp:lastPrinted>
  <dcterms:created xsi:type="dcterms:W3CDTF">2023-09-26T06:38:00Z</dcterms:created>
  <dcterms:modified xsi:type="dcterms:W3CDTF">2023-09-26T06:38:00Z</dcterms:modified>
</cp:coreProperties>
</file>